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32" w:lineRule="auto"/>
        <w:jc w:val="left"/>
        <w:rPr>
          <w:rFonts w:hint="eastAsia" w:ascii="仿宋_GB2312" w:hAnsi="宋体" w:eastAsia="仿宋_GB2312" w:cs="宋体"/>
          <w:kern w:val="0"/>
          <w:sz w:val="32"/>
          <w:szCs w:val="32"/>
          <w:lang w:eastAsia="zh-CN"/>
        </w:rPr>
      </w:pPr>
      <w:bookmarkStart w:id="1" w:name="_GoBack"/>
      <w:bookmarkEnd w:id="1"/>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eastAsia="zh-CN"/>
        </w:rPr>
        <w:t>一</w:t>
      </w:r>
    </w:p>
    <w:p>
      <w:pPr>
        <w:widowControl/>
        <w:adjustRightInd w:val="0"/>
        <w:snapToGrid w:val="0"/>
        <w:spacing w:line="432" w:lineRule="auto"/>
        <w:ind w:firstLine="723" w:firstLineChars="200"/>
        <w:jc w:val="center"/>
        <w:rPr>
          <w:rFonts w:hint="eastAsia" w:ascii="宋体" w:hAnsi="宋体" w:cs="宋体"/>
          <w:b/>
          <w:kern w:val="0"/>
          <w:sz w:val="36"/>
          <w:szCs w:val="36"/>
        </w:rPr>
      </w:pPr>
      <w:r>
        <w:rPr>
          <w:rFonts w:hint="eastAsia" w:ascii="宋体" w:hAnsi="宋体" w:cs="宋体"/>
          <w:b/>
          <w:kern w:val="0"/>
          <w:sz w:val="36"/>
          <w:szCs w:val="36"/>
          <w:lang w:val="en-US" w:eastAsia="zh-CN"/>
        </w:rPr>
        <w:t>109家</w:t>
      </w:r>
      <w:r>
        <w:rPr>
          <w:rFonts w:hint="eastAsia" w:ascii="宋体" w:hAnsi="宋体" w:cs="宋体"/>
          <w:b/>
          <w:kern w:val="0"/>
          <w:sz w:val="36"/>
          <w:szCs w:val="36"/>
        </w:rPr>
        <w:fldChar w:fldCharType="begin"/>
      </w:r>
      <w:r>
        <w:rPr>
          <w:rFonts w:hint="eastAsia" w:ascii="宋体" w:hAnsi="宋体" w:cs="宋体"/>
          <w:b/>
          <w:kern w:val="0"/>
          <w:sz w:val="36"/>
          <w:szCs w:val="36"/>
        </w:rPr>
        <w:instrText xml:space="preserve"> HYPERLINK "http://www.fjland.cn/download/zcfg/土地估价中介机构土地估价报告评审结果.doc" </w:instrText>
      </w:r>
      <w:r>
        <w:rPr>
          <w:rFonts w:hint="eastAsia" w:ascii="宋体" w:hAnsi="宋体" w:cs="宋体"/>
          <w:b/>
          <w:kern w:val="0"/>
          <w:sz w:val="36"/>
          <w:szCs w:val="36"/>
        </w:rPr>
        <w:fldChar w:fldCharType="separate"/>
      </w:r>
      <w:r>
        <w:rPr>
          <w:rFonts w:hint="eastAsia" w:ascii="宋体" w:hAnsi="宋体" w:cs="宋体"/>
          <w:b/>
          <w:kern w:val="0"/>
          <w:sz w:val="36"/>
          <w:szCs w:val="36"/>
        </w:rPr>
        <w:t>土地估价机构报告评审结果</w:t>
      </w:r>
      <w:r>
        <w:rPr>
          <w:rFonts w:hint="eastAsia" w:ascii="宋体" w:hAnsi="宋体" w:cs="宋体"/>
          <w:b/>
          <w:kern w:val="0"/>
          <w:sz w:val="36"/>
          <w:szCs w:val="36"/>
        </w:rPr>
        <w:fldChar w:fldCharType="end"/>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81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center"/>
          </w:tcPr>
          <w:p>
            <w:pPr>
              <w:autoSpaceDN w:val="0"/>
              <w:adjustRightInd w:val="0"/>
              <w:snapToGrid w:val="0"/>
              <w:spacing w:line="408" w:lineRule="auto"/>
              <w:jc w:val="center"/>
              <w:textAlignment w:val="center"/>
              <w:rPr>
                <w:rFonts w:hint="eastAsia" w:ascii="仿宋" w:hAnsi="仿宋" w:eastAsia="仿宋" w:cs="仿宋"/>
                <w:b/>
                <w:bCs/>
                <w:color w:val="auto"/>
                <w:kern w:val="0"/>
                <w:sz w:val="24"/>
                <w:szCs w:val="24"/>
              </w:rPr>
            </w:pPr>
            <w:r>
              <w:rPr>
                <w:rFonts w:hint="eastAsia" w:ascii="仿宋" w:hAnsi="仿宋" w:eastAsia="仿宋" w:cs="仿宋"/>
                <w:b/>
                <w:bCs/>
                <w:color w:val="auto"/>
                <w:sz w:val="24"/>
                <w:szCs w:val="24"/>
              </w:rPr>
              <w:t>序号</w:t>
            </w:r>
          </w:p>
        </w:tc>
        <w:tc>
          <w:tcPr>
            <w:tcW w:w="5812" w:type="dxa"/>
            <w:noWrap w:val="0"/>
            <w:vAlign w:val="center"/>
          </w:tcPr>
          <w:p>
            <w:pPr>
              <w:autoSpaceDN w:val="0"/>
              <w:adjustRightInd w:val="0"/>
              <w:snapToGrid w:val="0"/>
              <w:spacing w:line="408" w:lineRule="auto"/>
              <w:jc w:val="center"/>
              <w:textAlignment w:val="center"/>
              <w:rPr>
                <w:rFonts w:hint="eastAsia" w:ascii="仿宋" w:hAnsi="仿宋" w:eastAsia="仿宋" w:cs="仿宋"/>
                <w:b/>
                <w:bCs/>
                <w:color w:val="auto"/>
                <w:kern w:val="0"/>
                <w:sz w:val="24"/>
                <w:szCs w:val="24"/>
              </w:rPr>
            </w:pPr>
            <w:r>
              <w:rPr>
                <w:rFonts w:hint="eastAsia" w:ascii="仿宋" w:hAnsi="仿宋" w:eastAsia="仿宋" w:cs="仿宋"/>
                <w:b/>
                <w:bCs/>
                <w:color w:val="auto"/>
                <w:sz w:val="24"/>
                <w:szCs w:val="24"/>
              </w:rPr>
              <w:t>机构名称</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b/>
                <w:bCs/>
                <w:color w:val="auto"/>
                <w:kern w:val="0"/>
                <w:sz w:val="24"/>
                <w:szCs w:val="24"/>
              </w:rPr>
            </w:pPr>
            <w:r>
              <w:rPr>
                <w:rFonts w:hint="eastAsia" w:ascii="仿宋" w:hAnsi="仿宋" w:eastAsia="仿宋" w:cs="仿宋"/>
                <w:b/>
                <w:bCs/>
                <w:color w:val="auto"/>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厦门均和房地产土地评估咨询有限公司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福建华泰房地产评估咨询有限公司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二</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福建建友资产评估土地房地产估价有限责任公司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i w:val="0"/>
                <w:color w:val="auto"/>
                <w:kern w:val="0"/>
                <w:sz w:val="24"/>
                <w:szCs w:val="24"/>
                <w:u w:val="none"/>
                <w:lang w:val="en-US" w:eastAsia="zh-CN" w:bidi="ar"/>
              </w:rPr>
              <w:t>福建华审资产评估房地产土地估价有限责任公司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福州九典评估咨询有限公司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龙岩恒泰土地房地产评估咨询有限公司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厦门信衡土地房地产评估咨询有限公司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泉州和益资产评估房地产土地估价有限责任公司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福建厚德地产房地产估价有限公司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rPr>
            </w:pPr>
            <w:r>
              <w:rPr>
                <w:rFonts w:hint="eastAsia" w:ascii="仿宋" w:hAnsi="仿宋" w:eastAsia="仿宋" w:cs="仿宋"/>
                <w:color w:val="auto"/>
                <w:sz w:val="24"/>
                <w:szCs w:val="24"/>
              </w:rPr>
              <w:t>10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厦门市大学资产评估土地房地产估价有限责任公司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福建大成土地房地产评估有限公司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val="en-US" w:eastAsia="zh-CN" w:bidi="ar"/>
              </w:rPr>
            </w:pPr>
            <w:r>
              <w:rPr>
                <w:rFonts w:hint="eastAsia" w:ascii="仿宋" w:hAnsi="仿宋" w:eastAsia="仿宋" w:cs="仿宋"/>
                <w:i w:val="0"/>
                <w:color w:val="auto"/>
                <w:kern w:val="0"/>
                <w:sz w:val="24"/>
                <w:szCs w:val="24"/>
                <w:u w:val="none"/>
                <w:lang w:val="en-US" w:eastAsia="zh-CN" w:bidi="ar"/>
              </w:rPr>
              <w:t>中联（福建）资产评估土地房地产估价有限责任公司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福建银德中远资产评估房地产土地估价有限公司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福建君健房地产评估咨询有限公司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厦门大成方华资产评估土地房产估价有限公司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漳州佰城土地房地产评估咨询有限公司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泉州名城资产评估房地产估价有限公司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福建立信资产评估房地产土地评估有限公司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19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龙岩华泰资产评估房地产土地估价有限公司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福建中正资产评估房地产估价有限公司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泉州华天资产评估房地产估价有限公司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福建嘉信资产评估土地房地产估价有限责任公司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泉州市恒瑞房地产评估有限公司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福建中诚信德房地产评估有限公司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福建联合中和资产评估土地房地产估价有限公司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 xml:space="preserve">福建正德资产评估房地产土地估价有限公司 </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厦门信惠房地产评估咨询有限公司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福建国信资产评估土地房地产估价有限公司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29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福建大地土地评估房地产估价有限公司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福建兴闽资产评估土地房地产估价有限责任公司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厦门巨臣土地房地产评估咨询有限公司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福建建科房地产估价有限公司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泉州宁朗资产评估房地产估价有限公司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福建均恒房地产评估有限公司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福建馥华房地产评估有限公司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福建海峡房地产资产评估有限公司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厦门国之策资产与房地产土地评估有限公司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厦门翰和资产评估土地房地产估价有限公司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39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三明燕江资产评估土地房地产估价有限公司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福建武夷资产评估房地产土地估价有限公司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福建开诚资产评估土地房地产估价有限公司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福建明鉴资产评估房地产土地估价有限公司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福建同人大有资产评估土地房地产估价有限公司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南安市恒誉房地产评估有限公司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福建衡益资产评估房地产土地估价有限公司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福建省青商房地产评估有限公司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泉州市立诚房地产评估有限公司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光明房地资产评估有限责任公司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49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福建华茂资产评估房地产土地估价有限责任公司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泉州中天房地产评估有限公司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福建鑫玉融资产评估房地产土地估价有限公司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福建恒正资产评估房地产估价有限公司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福建中兴资产评估房地产土地估价有限责任公司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泉州永信房地产评估项目咨询有限公司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55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厦门中利资产评估土地房地产估价有限公司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56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 xml:space="preserve"> 福建正一房地产评估有限公司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57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福州冠地房地产估价服务有限公司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58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泉州仁达房地产评估有限公司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59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泉州中地房地产评估有限公司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三明金湖房地产评估有限责任公司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福州旺科房地产评估咨询有限公司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漳州龙信土地房地产评估有限公司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石狮市恒信房地产评估有限公司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福建智宏房地产评估有限公司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厦门乾元资产评估与房地产估价有限责任公司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福建所思达勘测设计院有限公司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福建国典房地产资产评估咨询有限公司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福建德信土地房地产资产评估有限公司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69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漳州大源土地房地产资产评估有限公司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福建永和资产评估房地产土地估价有限责任公司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漳州汇华房地产评估有限公司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福建信源房地产土地评估咨询有限公司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福建国仁方略资产评估房地产评估有限公司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泉州闽南资产评估房地产土地估价有限责任公司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厦门银兴资产评估土地房地产评估有限公司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福州名实资产评估房地产土地估价有限公司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福建中恒资产评估土地房地产估价有限公司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厦门银晟土地房地产估价咨询有限公司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79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泉州中联房地产评估有限公司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bookmarkStart w:id="0" w:name="OLE_LINK2"/>
            <w:r>
              <w:rPr>
                <w:rFonts w:hint="eastAsia" w:ascii="仿宋" w:hAnsi="仿宋" w:eastAsia="仿宋" w:cs="仿宋"/>
                <w:color w:val="auto"/>
                <w:sz w:val="24"/>
                <w:szCs w:val="24"/>
              </w:rPr>
              <w:t>四等</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80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龙岩冠力土地房地产评估有限公司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81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福州瑞尔房地产评估有限公司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82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福建华成房地产土地资产评估有限公司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83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宁德市朝华房地产评估咨询有限公司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sz w:val="24"/>
                <w:szCs w:val="24"/>
              </w:rPr>
              <w:t>84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福建金诺土地房地产评估有限公司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85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龙岩景舜房地产评估咨询有限公司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86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福州闽航资产评估房地产土地估价有限公司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厦门大成资产评估土地房地产估价事务所（普通合伙）</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厦门深茂土地房地产评估有限公司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89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厦门均达土地房地产评估咨询有限公司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福州建融房地产评估咨询有限公司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福建大智慧资产评估房地产估价有限公司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福州盛名资产评估房地产估价有限公司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福建龙健房地产土地资产评估与运营有限公司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福建财经房地产估价有限公司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default"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三明中信房地产土地资产评估有限公司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96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福建华融资产评估土地房地产估价有限责任公司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福建省恒宇房地产评估有限公司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福建国龙资产评估土地房地产估价有限公司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厦门金科信土地房地产评估咨询有限公司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100</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福建省智信房地产评估有限公司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101</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福建明达房地产评估有限公司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102</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漳州兴龙土地房地产资产评估有限公司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103</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福建居安资产评估房地产土地估价有限公司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104</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厦门同建资产评估土地房地产估价有限公司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105</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福建润达土地房地产评估有限公司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106</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三明华实资产评估房地产估价有限公司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107</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厦门泰恒业房地产评估有限公司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108</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lang w:bidi="ar"/>
              </w:rPr>
            </w:pPr>
            <w:r>
              <w:rPr>
                <w:rFonts w:hint="eastAsia" w:ascii="仿宋" w:hAnsi="仿宋" w:eastAsia="仿宋" w:cs="仿宋"/>
                <w:i w:val="0"/>
                <w:color w:val="auto"/>
                <w:kern w:val="0"/>
                <w:sz w:val="24"/>
                <w:szCs w:val="24"/>
                <w:u w:val="none"/>
                <w:lang w:val="en-US" w:eastAsia="zh-CN" w:bidi="ar"/>
              </w:rPr>
              <w:t>漳州华诚资产评估土地房地产估价有限公司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959" w:type="dxa"/>
            <w:noWrap w:val="0"/>
            <w:vAlign w:val="top"/>
          </w:tcPr>
          <w:p>
            <w:pPr>
              <w:autoSpaceDN w:val="0"/>
              <w:adjustRightInd w:val="0"/>
              <w:snapToGrid w:val="0"/>
              <w:spacing w:line="408" w:lineRule="auto"/>
              <w:jc w:val="center"/>
              <w:textAlignment w:val="top"/>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109</w:t>
            </w:r>
          </w:p>
        </w:tc>
        <w:tc>
          <w:tcPr>
            <w:tcW w:w="5812" w:type="dxa"/>
            <w:noWrap w:val="0"/>
            <w:vAlign w:val="center"/>
          </w:tcPr>
          <w:p>
            <w:pPr>
              <w:keepNext w:val="0"/>
              <w:keepLines w:val="0"/>
              <w:widowControl/>
              <w:suppressLineNumbers w:val="0"/>
              <w:jc w:val="center"/>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福建华兴资产评估房地产土地估价有限公司</w:t>
            </w:r>
          </w:p>
        </w:tc>
        <w:tc>
          <w:tcPr>
            <w:tcW w:w="1260" w:type="dxa"/>
            <w:noWrap w:val="0"/>
            <w:vAlign w:val="center"/>
          </w:tcPr>
          <w:p>
            <w:pPr>
              <w:autoSpaceDN w:val="0"/>
              <w:adjustRightInd w:val="0"/>
              <w:snapToGrid w:val="0"/>
              <w:spacing w:line="408" w:lineRule="auto"/>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无业绩</w:t>
            </w:r>
          </w:p>
        </w:tc>
      </w:tr>
    </w:tbl>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 w:val="24"/>
        </w:rPr>
      </w:pPr>
      <w:r>
        <w:rPr>
          <w:rFonts w:hint="eastAsia" w:ascii="仿宋_GB2312" w:eastAsia="仿宋_GB2312"/>
          <w:sz w:val="24"/>
        </w:rPr>
        <w:t>注：土地估价报告评分在90分以上为一等，80-89分为二等，70-79分为三等，60-69分为四等，60分以下为五等。</w:t>
      </w:r>
    </w:p>
    <w:p>
      <w:pPr>
        <w:rPr>
          <w:rFonts w:hint="eastAsia" w:ascii="仿宋_GB2312" w:eastAsia="仿宋_GB2312"/>
          <w:szCs w:val="21"/>
        </w:rPr>
      </w:pPr>
    </w:p>
    <w:p>
      <w:pPr>
        <w:rPr>
          <w:rFonts w:hint="eastAsia" w:ascii="仿宋_GB2312" w:eastAsia="仿宋_GB2312"/>
          <w:szCs w:val="21"/>
        </w:rPr>
      </w:pPr>
    </w:p>
    <w:p>
      <w:pPr>
        <w:rPr>
          <w:rFonts w:hint="eastAsia" w:ascii="仿宋_GB2312" w:eastAsia="仿宋_GB2312"/>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 w:hAnsi="仿宋" w:eastAsia="仿宋" w:cs="仿宋"/>
          <w:sz w:val="32"/>
          <w:szCs w:val="32"/>
          <w:lang w:eastAsia="zh-CN"/>
        </w:rPr>
      </w:pPr>
    </w:p>
    <w:sectPr>
      <w:footerReference r:id="rId3" w:type="default"/>
      <w:pgSz w:w="11906" w:h="16838"/>
      <w:pgMar w:top="1440" w:right="1417" w:bottom="1440" w:left="141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lang/>
      </w:rP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46673"/>
    <w:rsid w:val="07F04F34"/>
    <w:rsid w:val="088E5E6F"/>
    <w:rsid w:val="09B3286C"/>
    <w:rsid w:val="0B23362B"/>
    <w:rsid w:val="0D387BB2"/>
    <w:rsid w:val="123D6D20"/>
    <w:rsid w:val="1557180B"/>
    <w:rsid w:val="227A7DB1"/>
    <w:rsid w:val="24747E14"/>
    <w:rsid w:val="25CB4F6C"/>
    <w:rsid w:val="28FC4718"/>
    <w:rsid w:val="2E4604BE"/>
    <w:rsid w:val="31CC2BD5"/>
    <w:rsid w:val="324D5F0B"/>
    <w:rsid w:val="37B7124E"/>
    <w:rsid w:val="3FBF20E3"/>
    <w:rsid w:val="4A050585"/>
    <w:rsid w:val="530C1F95"/>
    <w:rsid w:val="56207ABD"/>
    <w:rsid w:val="5DCA0584"/>
    <w:rsid w:val="5E184C27"/>
    <w:rsid w:val="65092EE8"/>
    <w:rsid w:val="6E863AF7"/>
    <w:rsid w:val="71EB7E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4">
    <w:name w:val="Default Paragraph Font"/>
    <w:uiPriority w:val="0"/>
  </w:style>
  <w:style w:type="table" w:default="1" w:styleId="3">
    <w:name w:val="Normal Table"/>
    <w:unhideWhenUsed/>
    <w:uiPriority w:val="99"/>
    <w:tblPr>
      <w:tblStyle w:val="3"/>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styleId="6">
    <w:name w:val="Hyperlink"/>
    <w:basedOn w:val="4"/>
    <w:uiPriority w:val="0"/>
    <w:rPr>
      <w:color w:val="1B609E"/>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COMMONORG</Company>
  <Pages>1</Pages>
  <Words>470</Words>
  <Characters>2685</Characters>
  <Lines>22</Lines>
  <Paragraphs>6</Paragraphs>
  <TotalTime>2</TotalTime>
  <ScaleCrop>false</ScaleCrop>
  <LinksUpToDate>false</LinksUpToDate>
  <CharactersWithSpaces>3149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2012-05-30T07:41:00Z</dcterms:created>
  <dc:creator>user</dc:creator>
  <cp:lastModifiedBy>Eric</cp:lastModifiedBy>
  <cp:lastPrinted>2017-09-15T01:38:37Z</cp:lastPrinted>
  <dcterms:modified xsi:type="dcterms:W3CDTF">2019-11-22T07:30:41Z</dcterms:modified>
  <dc:title>福建省土地估价行业协会关于全省土地估价中介机构执业检查结果通报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