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outlineLvl w:val="9"/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outlineLvl w:val="9"/>
        <w:rPr>
          <w:rFonts w:ascii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lang w:val="en-US" w:eastAsia="zh-CN"/>
        </w:rPr>
        <w:t>202</w:t>
      </w:r>
      <w:r>
        <w:rPr>
          <w:rFonts w:hint="eastAsia" w:ascii="宋体" w:hAnsi="宋体" w:cs="宋体"/>
          <w:b/>
          <w:bCs/>
          <w:color w:val="333333"/>
          <w:kern w:val="0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lang w:val="en-US" w:eastAsia="zh-CN"/>
        </w:rPr>
        <w:t>年第</w:t>
      </w:r>
      <w:r>
        <w:rPr>
          <w:rFonts w:hint="eastAsia" w:ascii="宋体" w:hAnsi="宋体" w:cs="宋体"/>
          <w:b/>
          <w:bCs/>
          <w:color w:val="333333"/>
          <w:kern w:val="0"/>
          <w:sz w:val="32"/>
          <w:szCs w:val="32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lang w:val="en-US" w:eastAsia="zh-CN"/>
        </w:rPr>
        <w:t>批次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备案土地估价机构名单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outlineLvl w:val="9"/>
        <w:rPr>
          <w:rFonts w:ascii="宋体"/>
          <w:b/>
          <w:sz w:val="44"/>
          <w:szCs w:val="44"/>
        </w:rPr>
      </w:pPr>
    </w:p>
    <w:tbl>
      <w:tblPr>
        <w:tblStyle w:val="2"/>
        <w:tblpPr w:leftFromText="180" w:rightFromText="180" w:vertAnchor="text" w:horzAnchor="page" w:tblpXSpec="center" w:tblpY="225"/>
        <w:tblOverlap w:val="never"/>
        <w:tblW w:w="876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8"/>
        <w:gridCol w:w="1193"/>
        <w:gridCol w:w="4480"/>
        <w:gridCol w:w="1181"/>
        <w:gridCol w:w="1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序号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备案号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机构名称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法定代表人/执行合伙人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2021350004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福建鑫恒房地产评估有限公司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林乘长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2021350005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福州财鑫房地产资产评估有限公司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王侃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2021350006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厦门丛达房地产估价有限公司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许彩丽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新机构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2021350007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龙岩冠力土地房地产评估有限公司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邱新桂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921A5"/>
    <w:rsid w:val="0DA9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2021-04-15T08:39:00Z</dcterms:created>
  <dc:creator>Eric</dc:creator>
  <cp:lastModifiedBy>Eric</cp:lastModifiedBy>
  <dcterms:modified xsi:type="dcterms:W3CDTF">2021-04-15T08:39:11Z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CC1B6C6CAEF74CA5A212545E0B221248</vt:lpwstr>
  </property>
</Properties>
</file>